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6B" w:rsidRDefault="00A57B6B" w:rsidP="00A57B6B">
      <w:pPr>
        <w:ind w:right="-360"/>
        <w:jc w:val="both"/>
        <w:rPr>
          <w:rFonts w:ascii="Arial" w:hAnsi="Arial" w:cs="Arial"/>
          <w:noProof/>
          <w:sz w:val="28"/>
          <w:szCs w:val="28"/>
          <w:lang w:val="az-Latn-AZ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val="az-Latn-AZ"/>
        </w:rPr>
        <w:t>Hazırladı: Yunus Kazımov (AƏSMA)</w:t>
      </w:r>
    </w:p>
    <w:p w:rsidR="00A57B6B" w:rsidRDefault="00A57B6B" w:rsidP="00003FE9">
      <w:pPr>
        <w:ind w:left="720"/>
        <w:jc w:val="both"/>
        <w:rPr>
          <w:b/>
        </w:rPr>
      </w:pPr>
    </w:p>
    <w:p w:rsidR="00A57B6B" w:rsidRDefault="00A57B6B" w:rsidP="00003FE9">
      <w:pPr>
        <w:ind w:left="720"/>
        <w:jc w:val="both"/>
        <w:rPr>
          <w:b/>
        </w:rPr>
      </w:pPr>
    </w:p>
    <w:p w:rsidR="00F66A29" w:rsidRDefault="00F66A29" w:rsidP="00003FE9">
      <w:pPr>
        <w:ind w:left="720"/>
        <w:jc w:val="both"/>
        <w:rPr>
          <w:b/>
        </w:rPr>
      </w:pPr>
      <w:r w:rsidRPr="00E1384F">
        <w:rPr>
          <w:b/>
        </w:rPr>
        <w:t xml:space="preserve">9. </w:t>
      </w:r>
      <w:r w:rsidR="00E1384F" w:rsidRPr="00E1384F">
        <w:rPr>
          <w:b/>
        </w:rPr>
        <w:t>Cənubi-Şərqi Asiya</w:t>
      </w:r>
      <w:r w:rsidRPr="00E1384F">
        <w:rPr>
          <w:b/>
        </w:rPr>
        <w:t>n</w:t>
      </w:r>
      <w:r w:rsidR="00E1384F" w:rsidRPr="00E1384F">
        <w:rPr>
          <w:b/>
        </w:rPr>
        <w:t>ın</w:t>
      </w:r>
      <w:r w:rsidRPr="00E1384F">
        <w:rPr>
          <w:b/>
        </w:rPr>
        <w:t xml:space="preserve"> (CŞA) yeni sənaye ölkələrinin iqtisadi inkişafının xüsusiyyətləri.</w:t>
      </w:r>
    </w:p>
    <w:p w:rsidR="00E1384F" w:rsidRPr="00E1384F" w:rsidRDefault="00E1384F" w:rsidP="00003FE9">
      <w:pPr>
        <w:ind w:left="720"/>
        <w:jc w:val="both"/>
        <w:rPr>
          <w:b/>
        </w:rPr>
      </w:pPr>
    </w:p>
    <w:p w:rsidR="00F66A29" w:rsidRPr="00E1384F" w:rsidRDefault="00F66A29" w:rsidP="00003FE9">
      <w:pPr>
        <w:ind w:firstLine="720"/>
        <w:jc w:val="both"/>
      </w:pPr>
      <w:proofErr w:type="gramStart"/>
      <w:r w:rsidRPr="00E1384F">
        <w:t>Cənubi Şərqi Asiyanın</w:t>
      </w:r>
      <w:r w:rsidR="00E1384F" w:rsidRPr="00E1384F">
        <w:t xml:space="preserve"> </w:t>
      </w:r>
      <w:r w:rsidRPr="00E1384F">
        <w:t>yeni sənaye ölkələrinin iqtisadi inkişaf modelini təhlil etd</w:t>
      </w:r>
      <w:r w:rsidR="00E1384F">
        <w:t>ikdə, ilk növbədə onlarm özünə</w:t>
      </w:r>
      <w:r w:rsidRPr="00E1384F">
        <w:t>məxsus şərq mədəniyyətinə və mentalitetinə malik o</w:t>
      </w:r>
      <w:r w:rsidR="00E1384F">
        <w:t>lmala</w:t>
      </w:r>
      <w:r w:rsidRPr="00E1384F">
        <w:t>rının roluna üstünlük verilir.</w:t>
      </w:r>
      <w:proofErr w:type="gramEnd"/>
      <w:r w:rsidRPr="00E1384F">
        <w:t xml:space="preserve"> Bu mənada aşağıdakı ümumi cəhətləri qeyd etmək olar:</w:t>
      </w:r>
    </w:p>
    <w:p w:rsidR="00E1384F" w:rsidRDefault="00F66A29" w:rsidP="00003FE9">
      <w:pPr>
        <w:pStyle w:val="Bodytext1"/>
        <w:numPr>
          <w:ilvl w:val="0"/>
          <w:numId w:val="1"/>
        </w:numPr>
        <w:shd w:val="clear" w:color="auto" w:fill="auto"/>
        <w:spacing w:line="264" w:lineRule="exact"/>
        <w:ind w:left="40" w:right="200" w:firstLine="240"/>
        <w:rPr>
          <w:sz w:val="24"/>
          <w:szCs w:val="24"/>
        </w:rPr>
      </w:pPr>
      <w:r w:rsidRPr="00E1384F">
        <w:rPr>
          <w:rStyle w:val="Bodytext"/>
          <w:color w:val="000000"/>
          <w:sz w:val="24"/>
          <w:szCs w:val="24"/>
          <w:lang w:eastAsia="az-Latn-AZ"/>
        </w:rPr>
        <w:t xml:space="preserve"> hakimiyyət orqanlarına hörmət edilməsi və sözsüz tabeçilik göstərilməsi;</w:t>
      </w:r>
    </w:p>
    <w:p w:rsidR="00E1384F" w:rsidRDefault="00F66A29" w:rsidP="00003FE9">
      <w:pPr>
        <w:pStyle w:val="Bodytext1"/>
        <w:numPr>
          <w:ilvl w:val="0"/>
          <w:numId w:val="1"/>
        </w:numPr>
        <w:shd w:val="clear" w:color="auto" w:fill="auto"/>
        <w:spacing w:line="264" w:lineRule="exact"/>
        <w:ind w:left="40" w:right="200" w:firstLine="240"/>
        <w:rPr>
          <w:sz w:val="24"/>
          <w:szCs w:val="24"/>
        </w:rPr>
      </w:pPr>
      <w:r w:rsidRPr="00E1384F">
        <w:rPr>
          <w:rStyle w:val="Bodytext"/>
          <w:color w:val="000000"/>
          <w:sz w:val="24"/>
          <w:szCs w:val="24"/>
          <w:lang w:eastAsia="az-Latn-AZ"/>
        </w:rPr>
        <w:t>yüksək təhsil standa</w:t>
      </w:r>
      <w:r w:rsidR="00E1384F">
        <w:rPr>
          <w:rStyle w:val="Bodytext"/>
          <w:color w:val="000000"/>
          <w:sz w:val="24"/>
          <w:szCs w:val="24"/>
          <w:lang w:eastAsia="az-Latn-AZ"/>
        </w:rPr>
        <w:t>rtlarınm mövcud olması (beynəl</w:t>
      </w:r>
      <w:r w:rsidRPr="00E1384F">
        <w:rPr>
          <w:rStyle w:val="Bodytext"/>
          <w:color w:val="000000"/>
          <w:sz w:val="24"/>
          <w:szCs w:val="24"/>
          <w:lang w:eastAsia="az-Latn-AZ"/>
        </w:rPr>
        <w:t xml:space="preserve">xalq təşkilatların məlumatma görə </w:t>
      </w:r>
      <w:r w:rsidRPr="00E1384F">
        <w:rPr>
          <w:rStyle w:val="BodytextBold"/>
          <w:color w:val="000000"/>
          <w:sz w:val="24"/>
          <w:szCs w:val="24"/>
          <w:lang w:eastAsia="az-Latn-AZ"/>
        </w:rPr>
        <w:t xml:space="preserve">Sinqapur, Cənubi Koreya, Yaponiya və Honqonqda </w:t>
      </w:r>
      <w:r w:rsidRPr="00E1384F">
        <w:rPr>
          <w:rStyle w:val="Bodytext"/>
          <w:color w:val="000000"/>
          <w:sz w:val="24"/>
          <w:szCs w:val="24"/>
          <w:lang w:eastAsia="az-Latn-AZ"/>
        </w:rPr>
        <w:t>gənclərin intellektual səviyyəsi daha yüksəkdir);</w:t>
      </w:r>
    </w:p>
    <w:p w:rsidR="00E1384F" w:rsidRDefault="00F66A29" w:rsidP="00003FE9">
      <w:pPr>
        <w:pStyle w:val="Bodytext1"/>
        <w:numPr>
          <w:ilvl w:val="0"/>
          <w:numId w:val="1"/>
        </w:numPr>
        <w:shd w:val="clear" w:color="auto" w:fill="auto"/>
        <w:spacing w:line="264" w:lineRule="exact"/>
        <w:ind w:left="40" w:right="200" w:firstLine="240"/>
        <w:rPr>
          <w:sz w:val="24"/>
          <w:szCs w:val="24"/>
        </w:rPr>
      </w:pPr>
      <w:r w:rsidRPr="00E1384F">
        <w:rPr>
          <w:rStyle w:val="Bodytext"/>
          <w:color w:val="000000"/>
          <w:sz w:val="24"/>
          <w:szCs w:val="24"/>
          <w:lang w:eastAsia="az-Latn-AZ"/>
        </w:rPr>
        <w:t xml:space="preserve">yüksək əzmkarlıq və əməksevərliyin olması. </w:t>
      </w:r>
      <w:r w:rsidRPr="00E1384F">
        <w:rPr>
          <w:rStyle w:val="BodytextBold"/>
          <w:color w:val="000000"/>
          <w:sz w:val="24"/>
          <w:szCs w:val="24"/>
          <w:lang w:eastAsia="az-Latn-AZ"/>
        </w:rPr>
        <w:t xml:space="preserve">Sinqapur, Malayziya və Tailand </w:t>
      </w:r>
      <w:r w:rsidRPr="00E1384F">
        <w:rPr>
          <w:rStyle w:val="Bodytext"/>
          <w:color w:val="000000"/>
          <w:sz w:val="24"/>
          <w:szCs w:val="24"/>
          <w:lang w:eastAsia="az-Latn-AZ"/>
        </w:rPr>
        <w:t>ən uzun iş</w:t>
      </w:r>
      <w:r w:rsidR="00E1384F">
        <w:rPr>
          <w:rStyle w:val="Bodytext"/>
          <w:color w:val="000000"/>
          <w:sz w:val="24"/>
          <w:szCs w:val="24"/>
          <w:lang w:eastAsia="az-Latn-AZ"/>
        </w:rPr>
        <w:t xml:space="preserve"> həftəsi ilə fərqlənirlər (təq</w:t>
      </w:r>
      <w:r w:rsidRPr="00E1384F">
        <w:rPr>
          <w:rStyle w:val="Bodytext"/>
          <w:color w:val="000000"/>
          <w:sz w:val="24"/>
          <w:szCs w:val="24"/>
          <w:lang w:eastAsia="az-Latn-AZ"/>
        </w:rPr>
        <w:t>ribən ildə 2200 saat);</w:t>
      </w:r>
    </w:p>
    <w:p w:rsidR="00F66A29" w:rsidRPr="00E1384F" w:rsidRDefault="00F66A29" w:rsidP="00003FE9">
      <w:pPr>
        <w:pStyle w:val="Bodytext1"/>
        <w:numPr>
          <w:ilvl w:val="0"/>
          <w:numId w:val="1"/>
        </w:numPr>
        <w:shd w:val="clear" w:color="auto" w:fill="auto"/>
        <w:spacing w:line="264" w:lineRule="exact"/>
        <w:ind w:left="40" w:right="200" w:firstLine="240"/>
        <w:rPr>
          <w:sz w:val="24"/>
          <w:szCs w:val="24"/>
        </w:rPr>
      </w:pPr>
      <w:r w:rsidRPr="00E1384F">
        <w:rPr>
          <w:rStyle w:val="Bodytext"/>
          <w:color w:val="000000"/>
          <w:sz w:val="24"/>
          <w:szCs w:val="24"/>
          <w:lang w:eastAsia="az-Latn-AZ"/>
        </w:rPr>
        <w:t>ruh yüksəkliyi və yoldaşlıq hissinin olması;</w:t>
      </w:r>
    </w:p>
    <w:p w:rsidR="00E1384F" w:rsidRDefault="00F66A29" w:rsidP="00003FE9">
      <w:pPr>
        <w:jc w:val="both"/>
        <w:rPr>
          <w:rStyle w:val="Bodytext"/>
          <w:color w:val="000000"/>
          <w:sz w:val="24"/>
          <w:szCs w:val="24"/>
          <w:lang w:eastAsia="az-Latn-AZ"/>
        </w:rPr>
      </w:pPr>
      <w:r w:rsidRPr="00E1384F">
        <w:rPr>
          <w:rStyle w:val="Bodytext"/>
          <w:color w:val="000000"/>
          <w:sz w:val="24"/>
          <w:szCs w:val="24"/>
          <w:lang w:eastAsia="az-Latn-AZ"/>
        </w:rPr>
        <w:t xml:space="preserve"> </w:t>
      </w:r>
      <w:proofErr w:type="gramStart"/>
      <w:r w:rsidRPr="00E1384F">
        <w:rPr>
          <w:rStyle w:val="Bodytext"/>
          <w:color w:val="000000"/>
          <w:sz w:val="24"/>
          <w:szCs w:val="24"/>
          <w:lang w:eastAsia="az-Latn-AZ"/>
        </w:rPr>
        <w:t>yaxın</w:t>
      </w:r>
      <w:proofErr w:type="gramEnd"/>
      <w:r w:rsidRPr="00E1384F">
        <w:rPr>
          <w:rStyle w:val="Bodytext"/>
          <w:color w:val="000000"/>
          <w:sz w:val="24"/>
          <w:szCs w:val="24"/>
          <w:lang w:eastAsia="az-Latn-AZ"/>
        </w:rPr>
        <w:t xml:space="preserve"> ailə-qohumluq əlaqələrinin olması.</w:t>
      </w:r>
    </w:p>
    <w:p w:rsidR="00E1384F" w:rsidRDefault="00F66A29" w:rsidP="00003FE9">
      <w:pPr>
        <w:ind w:firstLine="720"/>
        <w:jc w:val="both"/>
        <w:rPr>
          <w:color w:val="000000"/>
          <w:lang w:eastAsia="az-Latn-AZ"/>
        </w:rPr>
      </w:pPr>
      <w:proofErr w:type="gramStart"/>
      <w:r w:rsidRPr="00E1384F">
        <w:rPr>
          <w:rStyle w:val="Bodytext"/>
          <w:color w:val="000000"/>
          <w:sz w:val="24"/>
          <w:szCs w:val="24"/>
          <w:lang w:eastAsia="az-Latn-AZ"/>
        </w:rPr>
        <w:t>Bütün bu kimi xalis mənəvi cəhətlərlə yanaşı həmin öl- kələrin inkişafmda bəzi inkişaf etmiş ölkələrin təcrübəsinin və köməkliyinin də böyük rolu olmuşdur.</w:t>
      </w:r>
      <w:proofErr w:type="gramEnd"/>
      <w:r w:rsidRPr="00E1384F">
        <w:rPr>
          <w:rStyle w:val="Bodytext"/>
          <w:color w:val="000000"/>
          <w:sz w:val="24"/>
          <w:szCs w:val="24"/>
          <w:lang w:eastAsia="az-Latn-AZ"/>
        </w:rPr>
        <w:t xml:space="preserve"> </w:t>
      </w:r>
      <w:proofErr w:type="gramStart"/>
      <w:r w:rsidRPr="00E1384F">
        <w:rPr>
          <w:rStyle w:val="Bodytext"/>
          <w:color w:val="000000"/>
          <w:sz w:val="24"/>
          <w:szCs w:val="24"/>
          <w:lang w:eastAsia="az-Latn-AZ"/>
        </w:rPr>
        <w:t xml:space="preserve">Məsələn, </w:t>
      </w:r>
      <w:r w:rsidRPr="00E1384F">
        <w:rPr>
          <w:rStyle w:val="BodytextBold"/>
          <w:color w:val="000000"/>
          <w:sz w:val="24"/>
          <w:szCs w:val="24"/>
          <w:lang w:eastAsia="az-Latn-AZ"/>
        </w:rPr>
        <w:t xml:space="preserve">Yaponiyanın «iqtisadi möcüzəsi» </w:t>
      </w:r>
      <w:r w:rsidRPr="00E1384F">
        <w:rPr>
          <w:rStyle w:val="Bodytext"/>
          <w:color w:val="000000"/>
          <w:sz w:val="24"/>
          <w:szCs w:val="24"/>
          <w:lang w:eastAsia="az-Latn-AZ"/>
        </w:rPr>
        <w:t>demək olar ki</w:t>
      </w:r>
      <w:r w:rsidRPr="00E1384F">
        <w:rPr>
          <w:rStyle w:val="Bodytext"/>
          <w:b/>
          <w:color w:val="000000"/>
          <w:sz w:val="24"/>
          <w:szCs w:val="24"/>
          <w:lang w:eastAsia="az-Latn-AZ"/>
        </w:rPr>
        <w:t xml:space="preserve">, </w:t>
      </w:r>
      <w:r w:rsidR="00E1384F" w:rsidRPr="00E1384F">
        <w:rPr>
          <w:rStyle w:val="BodytextBold"/>
          <w:b w:val="0"/>
          <w:color w:val="000000"/>
          <w:sz w:val="24"/>
          <w:szCs w:val="24"/>
          <w:lang w:eastAsia="az-Latn-AZ"/>
        </w:rPr>
        <w:t>Cənub- Şərqi Asiyanın</w:t>
      </w:r>
      <w:r w:rsidRPr="00E1384F">
        <w:rPr>
          <w:rStyle w:val="BodytextBold"/>
          <w:color w:val="000000"/>
          <w:sz w:val="24"/>
          <w:szCs w:val="24"/>
          <w:lang w:eastAsia="az-Latn-AZ"/>
        </w:rPr>
        <w:t xml:space="preserve"> </w:t>
      </w:r>
      <w:r w:rsidRPr="00E1384F">
        <w:rPr>
          <w:rStyle w:val="Bodytext"/>
          <w:color w:val="000000"/>
          <w:sz w:val="24"/>
          <w:szCs w:val="24"/>
          <w:lang w:eastAsia="az-Latn-AZ"/>
        </w:rPr>
        <w:t>bütün ölkələri üçün nümunə olmuşdur.</w:t>
      </w:r>
      <w:proofErr w:type="gramEnd"/>
      <w:r w:rsidR="00E1384F">
        <w:rPr>
          <w:color w:val="000000"/>
          <w:lang w:eastAsia="az-Latn-AZ"/>
        </w:rPr>
        <w:t xml:space="preserve"> </w:t>
      </w:r>
    </w:p>
    <w:p w:rsidR="00E1384F" w:rsidRDefault="00F66A29" w:rsidP="00003FE9">
      <w:pPr>
        <w:ind w:firstLine="720"/>
        <w:jc w:val="both"/>
        <w:rPr>
          <w:rStyle w:val="Bodytext"/>
          <w:color w:val="000000"/>
          <w:sz w:val="24"/>
          <w:szCs w:val="24"/>
          <w:lang w:eastAsia="az-Latn-AZ"/>
        </w:rPr>
      </w:pPr>
      <w:proofErr w:type="gramStart"/>
      <w:r w:rsidRPr="00E1384F">
        <w:rPr>
          <w:rStyle w:val="Bodytext"/>
          <w:color w:val="000000"/>
          <w:sz w:val="24"/>
          <w:szCs w:val="24"/>
          <w:lang w:eastAsia="az-Latn-AZ"/>
        </w:rPr>
        <w:t xml:space="preserve">İlk əvvəllər </w:t>
      </w:r>
      <w:r w:rsidRPr="00E1384F">
        <w:rPr>
          <w:rStyle w:val="BodytextBold"/>
          <w:color w:val="000000"/>
          <w:sz w:val="24"/>
          <w:szCs w:val="24"/>
          <w:lang w:eastAsia="az-Latn-AZ"/>
        </w:rPr>
        <w:t xml:space="preserve">«əjdaha» </w:t>
      </w:r>
      <w:r w:rsidRPr="00E1384F">
        <w:rPr>
          <w:rStyle w:val="Bodytext"/>
          <w:color w:val="000000"/>
          <w:sz w:val="24"/>
          <w:szCs w:val="24"/>
          <w:lang w:eastAsia="az-Latn-AZ"/>
        </w:rPr>
        <w:t xml:space="preserve">adlandırılan ölkələr fərqlənmiş, </w:t>
      </w:r>
      <w:r w:rsidRPr="00E1384F">
        <w:rPr>
          <w:rStyle w:val="BodytextBold"/>
          <w:color w:val="000000"/>
          <w:sz w:val="24"/>
          <w:szCs w:val="24"/>
          <w:lang w:eastAsia="az-Latn-AZ"/>
        </w:rPr>
        <w:t xml:space="preserve">2030 </w:t>
      </w:r>
      <w:r w:rsidRPr="00E1384F">
        <w:rPr>
          <w:rStyle w:val="Bodytext"/>
          <w:color w:val="000000"/>
          <w:sz w:val="24"/>
          <w:szCs w:val="24"/>
          <w:lang w:eastAsia="az-Latn-AZ"/>
        </w:rPr>
        <w:t xml:space="preserve">ildən sonra isə </w:t>
      </w:r>
      <w:r w:rsidRPr="00E1384F">
        <w:rPr>
          <w:rStyle w:val="BodytextBold"/>
          <w:color w:val="000000"/>
          <w:sz w:val="24"/>
          <w:szCs w:val="24"/>
          <w:lang w:eastAsia="az-Latn-AZ"/>
        </w:rPr>
        <w:t xml:space="preserve">«pələng» </w:t>
      </w:r>
      <w:r w:rsidRPr="00E1384F">
        <w:rPr>
          <w:rStyle w:val="Bodytext"/>
          <w:color w:val="000000"/>
          <w:sz w:val="24"/>
          <w:szCs w:val="24"/>
          <w:lang w:eastAsia="az-Latn-AZ"/>
        </w:rPr>
        <w:t>adlandırılan ölkələr yeni sənaye.</w:t>
      </w:r>
      <w:proofErr w:type="gramEnd"/>
      <w:r w:rsidRPr="00E1384F">
        <w:rPr>
          <w:rStyle w:val="Bodytext"/>
          <w:color w:val="000000"/>
          <w:sz w:val="24"/>
          <w:szCs w:val="24"/>
          <w:lang w:eastAsia="az-Latn-AZ"/>
        </w:rPr>
        <w:t xml:space="preserve"> </w:t>
      </w:r>
      <w:proofErr w:type="gramStart"/>
      <w:r w:rsidRPr="00E1384F">
        <w:rPr>
          <w:rStyle w:val="Bodytext"/>
          <w:color w:val="000000"/>
          <w:sz w:val="24"/>
          <w:szCs w:val="24"/>
          <w:lang w:eastAsia="az-Latn-AZ"/>
        </w:rPr>
        <w:t>ölkələrinin</w:t>
      </w:r>
      <w:proofErr w:type="gramEnd"/>
      <w:r w:rsidRPr="00E1384F">
        <w:rPr>
          <w:rStyle w:val="Bodytext"/>
          <w:color w:val="000000"/>
          <w:sz w:val="24"/>
          <w:szCs w:val="24"/>
          <w:lang w:eastAsia="az-Latn-AZ"/>
        </w:rPr>
        <w:t xml:space="preserve"> sıralarını artırmışlır. </w:t>
      </w:r>
    </w:p>
    <w:p w:rsidR="00F66A29" w:rsidRPr="00E1384F" w:rsidRDefault="00F66A29" w:rsidP="00003FE9">
      <w:pPr>
        <w:ind w:firstLine="720"/>
        <w:jc w:val="both"/>
      </w:pPr>
      <w:proofErr w:type="gramStart"/>
      <w:r w:rsidRPr="00E1384F">
        <w:t>1950-ci illərdə bu ərazi geridə qalmış kənd təsərrüfatı iqtisadiyyatı olması ilə fərqlənirdi.</w:t>
      </w:r>
      <w:proofErr w:type="gramEnd"/>
      <w:r w:rsidRPr="00E1384F">
        <w:t xml:space="preserve"> </w:t>
      </w:r>
      <w:proofErr w:type="gramStart"/>
      <w:r w:rsidRPr="00E1384F">
        <w:t>Praktiki olaraq sənaye mövcud deyildi.</w:t>
      </w:r>
      <w:proofErr w:type="gramEnd"/>
      <w:r w:rsidRPr="00E1384F">
        <w:t xml:space="preserve"> </w:t>
      </w:r>
      <w:proofErr w:type="gramStart"/>
      <w:r w:rsidRPr="00E1384F">
        <w:t>Düyü və bəzi faydalı qazıntılardan başqa heç nə istehsal edilmirdi.</w:t>
      </w:r>
      <w:proofErr w:type="gramEnd"/>
      <w:r w:rsidRPr="00E1384F">
        <w:t xml:space="preserve"> </w:t>
      </w:r>
      <w:proofErr w:type="gramStart"/>
      <w:r w:rsidRPr="00E1384F">
        <w:t>Yaponiya kimi burada da çoxlu ucuz işçi qüvvəsi vardı.</w:t>
      </w:r>
      <w:proofErr w:type="gramEnd"/>
    </w:p>
    <w:p w:rsidR="00F66A29" w:rsidRPr="00E1384F" w:rsidRDefault="00F66A29" w:rsidP="00003FE9">
      <w:pPr>
        <w:jc w:val="both"/>
      </w:pPr>
      <w:proofErr w:type="gramStart"/>
      <w:r w:rsidRPr="00E1384F">
        <w:t>Kənd təsərrüfatmda hərtərəfli islahat aparılması sənaye- ləşdimıənin əsası olmuşdur.</w:t>
      </w:r>
      <w:proofErr w:type="gramEnd"/>
      <w:r w:rsidRPr="00E1384F">
        <w:t xml:space="preserve"> </w:t>
      </w:r>
      <w:proofErr w:type="gramStart"/>
      <w:r w:rsidRPr="00E1384F">
        <w:t>İri torpaq sahələrinin mülkiyyəti müsadirə edilmiş, torpaqlar bölüşdürülmüşdür.</w:t>
      </w:r>
      <w:proofErr w:type="gramEnd"/>
      <w:r w:rsidRPr="00E1384F">
        <w:t xml:space="preserve"> </w:t>
      </w:r>
      <w:proofErr w:type="gramStart"/>
      <w:r w:rsidRPr="00E1384F">
        <w:t>İlk əvvəllər geridə qalmış toxuculuq sənayesi inkişaf etdirilmişdir.</w:t>
      </w:r>
      <w:proofErr w:type="gramEnd"/>
      <w:r w:rsidRPr="00E1384F">
        <w:t xml:space="preserve"> Dünya bazarma ucuz paltar, ayaqqabı və s. məhsullar çıxarılırdı.</w:t>
      </w:r>
    </w:p>
    <w:p w:rsidR="00E1384F" w:rsidRPr="00E1384F" w:rsidRDefault="00F66A29" w:rsidP="00003FE9">
      <w:pPr>
        <w:ind w:firstLine="720"/>
        <w:jc w:val="both"/>
      </w:pPr>
      <w:proofErr w:type="gramStart"/>
      <w:r w:rsidRPr="00E1384F">
        <w:t>Bu ölkələrin iqtisadi inkişafında dövlətin böyük rolu olmuşdur.</w:t>
      </w:r>
      <w:proofErr w:type="gramEnd"/>
    </w:p>
    <w:p w:rsidR="00F66A29" w:rsidRPr="00E1384F" w:rsidRDefault="00F66A29" w:rsidP="00003FE9">
      <w:pPr>
        <w:jc w:val="both"/>
      </w:pPr>
      <w:proofErr w:type="gramStart"/>
      <w:r w:rsidRPr="00E1384F">
        <w:t>İkinci Dünya Müharibəsindən sonrakı illərdə həyata keçirilən iqtisadi strategiya klassik merkantilizm siyasətinə daha yaxm olmuşdur.</w:t>
      </w:r>
      <w:proofErr w:type="gramEnd"/>
      <w:r w:rsidRPr="00E1384F">
        <w:t xml:space="preserve"> </w:t>
      </w:r>
      <w:proofErr w:type="gramStart"/>
      <w:r w:rsidRPr="00E1384F">
        <w:t>Beləki, ilk əvvəllər ixraca daha çox üstünlük verilmiş və idxal çox ciddi məhdudlaşdırılmışdır.</w:t>
      </w:r>
      <w:proofErr w:type="gramEnd"/>
    </w:p>
    <w:p w:rsidR="00F66A29" w:rsidRPr="00E1384F" w:rsidRDefault="00F66A29" w:rsidP="00003FE9">
      <w:pPr>
        <w:jc w:val="both"/>
      </w:pPr>
      <w:proofErr w:type="gramStart"/>
      <w:r w:rsidRPr="00E1384F">
        <w:t>Idxala tətbiq edilən gömrük və inzibati tədbirlər, himayədarlıq siyasəti milli istehsalçıların xarici rəqabətdən qorun- masma xidmət edirdi.</w:t>
      </w:r>
      <w:proofErr w:type="gramEnd"/>
      <w:r w:rsidRPr="00E1384F">
        <w:t xml:space="preserve"> </w:t>
      </w:r>
      <w:proofErr w:type="gramStart"/>
      <w:r w:rsidRPr="00E1384F">
        <w:t>Daxili bazarda idxabn əvəzlənməsi siyasəti fəaliyyət göstərirdi.</w:t>
      </w:r>
      <w:proofErr w:type="gramEnd"/>
      <w:r w:rsidRPr="00E1384F">
        <w:t xml:space="preserve"> </w:t>
      </w:r>
      <w:proofErr w:type="gramStart"/>
      <w:r w:rsidRPr="00E1384F">
        <w:t>Yerli istehlakçılar ancaq yerli istehsalı nəzərdə tuturdular.</w:t>
      </w:r>
      <w:proofErr w:type="gramEnd"/>
      <w:r w:rsidRPr="00E1384F">
        <w:t xml:space="preserve"> </w:t>
      </w:r>
      <w:proofErr w:type="gramStart"/>
      <w:r w:rsidRPr="00E1384F">
        <w:t>Bütün bu kimi tədbirlər sənayenin sürətlənməsinə və ixrac üçün istehsala zəmin yaratmışdır.</w:t>
      </w:r>
      <w:proofErr w:type="gramEnd"/>
    </w:p>
    <w:p w:rsidR="00F66A29" w:rsidRPr="00E1384F" w:rsidRDefault="00F66A29" w:rsidP="00003FE9">
      <w:pPr>
        <w:ind w:firstLine="720"/>
        <w:jc w:val="both"/>
      </w:pPr>
      <w:proofErr w:type="gramStart"/>
      <w:r w:rsidRPr="00E1384F">
        <w:t>Cənub-Şərqi Asiya ölkələrinin iqtisadiyyatına xarici kapitalm cəlb edilməsinə də geniş maraq yaradılmışdır.</w:t>
      </w:r>
      <w:proofErr w:type="gramEnd"/>
      <w:r w:rsidRPr="00E1384F">
        <w:t xml:space="preserve"> </w:t>
      </w:r>
      <w:proofErr w:type="gramStart"/>
      <w:r w:rsidRPr="00E1384F">
        <w:t>Yeni istehsal sahələrinə investisiya qoyuluşu ilə yeni texnologiya əldə edilirdi.</w:t>
      </w:r>
      <w:proofErr w:type="gramEnd"/>
      <w:r w:rsidRPr="00E1384F">
        <w:t xml:space="preserve"> </w:t>
      </w:r>
      <w:proofErr w:type="gramStart"/>
      <w:r w:rsidRPr="00E1384F">
        <w:t>Xarici kapitalm və texnologiyanm cəlb edilməsi əsasında rəqabət qabiliyyətli istehsal sahələri yaranmışdır.</w:t>
      </w:r>
      <w:proofErr w:type="gramEnd"/>
      <w:r w:rsidRPr="00E1384F">
        <w:t xml:space="preserve"> </w:t>
      </w:r>
    </w:p>
    <w:p w:rsidR="00E1384F" w:rsidRDefault="00F66A29" w:rsidP="00003FE9">
      <w:pPr>
        <w:jc w:val="both"/>
      </w:pPr>
      <w:proofErr w:type="gramStart"/>
      <w:r w:rsidRPr="00E1384F">
        <w:t>Xarici kapital axınına da nəzarət edilirdi.</w:t>
      </w:r>
      <w:proofErr w:type="gramEnd"/>
      <w:r w:rsidRPr="00E1384F">
        <w:t xml:space="preserve"> </w:t>
      </w:r>
      <w:proofErr w:type="gramStart"/>
      <w:r w:rsidRPr="00E1384F">
        <w:t>Beləki, ancaq uzunmüddətli kapital və birbaşa investisiya cəlb edilirdi.</w:t>
      </w:r>
      <w:proofErr w:type="gramEnd"/>
    </w:p>
    <w:bookmarkEnd w:id="0"/>
    <w:p w:rsidR="00F66A29" w:rsidRPr="00E1384F" w:rsidRDefault="00F66A29" w:rsidP="00003FE9">
      <w:pPr>
        <w:ind w:firstLine="420"/>
        <w:jc w:val="both"/>
      </w:pPr>
      <w:r w:rsidRPr="00E1384F">
        <w:lastRenderedPageBreak/>
        <w:t>CŞA ölkələrində ayrı-ayrı dövrlərdə sənayeləşmə siyasətində əsas üstünlük aşağıdakı sahələrə verilmişdir:</w:t>
      </w:r>
    </w:p>
    <w:p w:rsidR="00F66A29" w:rsidRPr="00E1384F" w:rsidRDefault="00F66A29" w:rsidP="00003FE9">
      <w:pPr>
        <w:pStyle w:val="Bodytext1"/>
        <w:numPr>
          <w:ilvl w:val="0"/>
          <w:numId w:val="2"/>
        </w:numPr>
        <w:shd w:val="clear" w:color="auto" w:fill="auto"/>
        <w:spacing w:line="228" w:lineRule="exact"/>
        <w:ind w:left="160" w:firstLine="260"/>
        <w:rPr>
          <w:sz w:val="24"/>
          <w:szCs w:val="24"/>
        </w:rPr>
      </w:pPr>
      <w:r w:rsidRPr="00E1384F">
        <w:rPr>
          <w:rStyle w:val="Bodytext"/>
          <w:color w:val="000000"/>
          <w:sz w:val="24"/>
          <w:szCs w:val="24"/>
          <w:lang w:eastAsia="az-Latn-AZ"/>
        </w:rPr>
        <w:t xml:space="preserve"> 1950-ci illərdə toxuculuq və şüşə sənayesi;</w:t>
      </w:r>
    </w:p>
    <w:p w:rsidR="00F66A29" w:rsidRPr="00E1384F" w:rsidRDefault="00F66A29" w:rsidP="00003FE9">
      <w:pPr>
        <w:pStyle w:val="Bodytext1"/>
        <w:numPr>
          <w:ilvl w:val="0"/>
          <w:numId w:val="2"/>
        </w:numPr>
        <w:shd w:val="clear" w:color="auto" w:fill="auto"/>
        <w:spacing w:line="228" w:lineRule="exact"/>
        <w:ind w:left="160" w:right="340" w:firstLine="260"/>
        <w:rPr>
          <w:sz w:val="24"/>
          <w:szCs w:val="24"/>
        </w:rPr>
      </w:pPr>
      <w:r w:rsidRPr="00E1384F">
        <w:rPr>
          <w:rStyle w:val="Bodytext"/>
          <w:color w:val="000000"/>
          <w:sz w:val="24"/>
          <w:szCs w:val="24"/>
          <w:lang w:eastAsia="az-Latn-AZ"/>
        </w:rPr>
        <w:t xml:space="preserve"> 1960-cı illərdə sement və mineral gübrələr istehsalı, neft emalı, poladtökmə sənayesi, sintetik parça istehsalı;</w:t>
      </w:r>
    </w:p>
    <w:p w:rsidR="00F66A29" w:rsidRPr="00E1384F" w:rsidRDefault="00F66A29" w:rsidP="00003FE9">
      <w:pPr>
        <w:pStyle w:val="Bodytext1"/>
        <w:numPr>
          <w:ilvl w:val="0"/>
          <w:numId w:val="2"/>
        </w:numPr>
        <w:shd w:val="clear" w:color="auto" w:fill="auto"/>
        <w:spacing w:line="228" w:lineRule="exact"/>
        <w:ind w:left="160" w:right="340" w:firstLine="260"/>
        <w:rPr>
          <w:sz w:val="24"/>
          <w:szCs w:val="24"/>
        </w:rPr>
      </w:pPr>
      <w:r w:rsidRPr="00E1384F">
        <w:rPr>
          <w:rStyle w:val="Bodytext"/>
          <w:color w:val="000000"/>
          <w:sz w:val="24"/>
          <w:szCs w:val="24"/>
          <w:lang w:eastAsia="az-Latn-AZ"/>
        </w:rPr>
        <w:t xml:space="preserve"> 1970-d illərdə gəmiqayırma, investisiya tələb edən mallar və uzun müddət istifadə olunan istehlak malları (ava- danlıq, avtomaşın və s.);</w:t>
      </w:r>
    </w:p>
    <w:p w:rsidR="00F66A29" w:rsidRPr="00E1384F" w:rsidRDefault="00F66A29" w:rsidP="00003FE9">
      <w:pPr>
        <w:pStyle w:val="Bodytext1"/>
        <w:numPr>
          <w:ilvl w:val="0"/>
          <w:numId w:val="2"/>
        </w:numPr>
        <w:shd w:val="clear" w:color="auto" w:fill="auto"/>
        <w:spacing w:line="228" w:lineRule="exact"/>
        <w:ind w:left="160" w:right="340" w:firstLine="260"/>
        <w:rPr>
          <w:sz w:val="24"/>
          <w:szCs w:val="24"/>
        </w:rPr>
      </w:pPr>
      <w:r w:rsidRPr="00E1384F">
        <w:rPr>
          <w:rStyle w:val="Bodytext"/>
          <w:color w:val="000000"/>
          <w:sz w:val="24"/>
          <w:szCs w:val="24"/>
          <w:lang w:eastAsia="az-Latn-AZ"/>
        </w:rPr>
        <w:t xml:space="preserve"> 1980-d illərdə elektrotexnika sənayesi, telekommunikasiya, informatika;</w:t>
      </w:r>
    </w:p>
    <w:p w:rsidR="00F66A29" w:rsidRPr="00E1384F" w:rsidRDefault="00F66A29" w:rsidP="00003FE9">
      <w:pPr>
        <w:pStyle w:val="Bodytext1"/>
        <w:numPr>
          <w:ilvl w:val="0"/>
          <w:numId w:val="2"/>
        </w:numPr>
        <w:shd w:val="clear" w:color="auto" w:fill="auto"/>
        <w:spacing w:line="228" w:lineRule="exact"/>
        <w:ind w:left="160" w:right="340" w:firstLine="260"/>
        <w:rPr>
          <w:sz w:val="24"/>
          <w:szCs w:val="24"/>
        </w:rPr>
      </w:pPr>
      <w:r w:rsidRPr="00E1384F">
        <w:rPr>
          <w:rStyle w:val="Bodytext"/>
          <w:color w:val="000000"/>
          <w:sz w:val="24"/>
          <w:szCs w:val="24"/>
          <w:lang w:eastAsia="az-Latn-AZ"/>
        </w:rPr>
        <w:t xml:space="preserve"> 1990-cı illərdə yeni materiallar və texnologiya istehsalı, aerokosmika sənayesi.</w:t>
      </w:r>
    </w:p>
    <w:p w:rsidR="00F66A29" w:rsidRPr="00E1384F" w:rsidRDefault="00F66A29" w:rsidP="00003FE9">
      <w:pPr>
        <w:jc w:val="both"/>
      </w:pPr>
      <w:proofErr w:type="gramStart"/>
      <w:r w:rsidRPr="00E1384F">
        <w:t>Hazırkı mərhələdə yeni texnologiyaya, elmtutumlu sahələrə, qeyri-maddi istehsal sahələrinin artmasına üstünlük verilməsi əsasında iqtisadiyyatın modernləşdirilməsi həyata keçirilir.</w:t>
      </w:r>
      <w:proofErr w:type="gramEnd"/>
    </w:p>
    <w:p w:rsidR="00F66A29" w:rsidRPr="00E1384F" w:rsidRDefault="00F66A29" w:rsidP="00003FE9">
      <w:pPr>
        <w:jc w:val="both"/>
      </w:pPr>
    </w:p>
    <w:p w:rsidR="00F66A29" w:rsidRDefault="00F66A29" w:rsidP="00003FE9">
      <w:pPr>
        <w:jc w:val="both"/>
      </w:pPr>
      <w:r w:rsidRPr="00E1384F">
        <w:t xml:space="preserve">Cənubi-Şərqi Asiyanın yeni sənaye </w:t>
      </w:r>
      <w:proofErr w:type="gramStart"/>
      <w:r w:rsidRPr="00E1384F">
        <w:t>ölkələrinin  əsas</w:t>
      </w:r>
      <w:proofErr w:type="gramEnd"/>
      <w:r w:rsidRPr="00E1384F">
        <w:t xml:space="preserve"> iqtisadi göstəriciləri (2005)</w:t>
      </w:r>
    </w:p>
    <w:p w:rsidR="00E1384F" w:rsidRDefault="00E1384F" w:rsidP="00003FE9">
      <w:pPr>
        <w:jc w:val="both"/>
      </w:pPr>
    </w:p>
    <w:p w:rsidR="00E1384F" w:rsidRPr="00E1384F" w:rsidRDefault="00E1384F" w:rsidP="00003FE9">
      <w:pPr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4"/>
        <w:gridCol w:w="1223"/>
        <w:gridCol w:w="1350"/>
        <w:gridCol w:w="1314"/>
      </w:tblGrid>
      <w:tr w:rsidR="00F66A29" w:rsidRPr="00E1384F" w:rsidTr="00F66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6A29" w:rsidRPr="00E1384F" w:rsidRDefault="00F66A29" w:rsidP="00003FE9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6A29" w:rsidRPr="00E1384F" w:rsidRDefault="00F66A29" w:rsidP="00003FE9">
            <w:pPr>
              <w:jc w:val="both"/>
            </w:pPr>
            <w:r w:rsidRPr="00E1384F">
              <w:t>Ərazisi,</w:t>
            </w:r>
          </w:p>
          <w:p w:rsidR="00F66A29" w:rsidRPr="00E1384F" w:rsidRDefault="00F66A29" w:rsidP="00003FE9">
            <w:pPr>
              <w:jc w:val="both"/>
            </w:pPr>
            <w:r w:rsidRPr="00E1384F">
              <w:t>min km2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6A29" w:rsidRPr="00E1384F" w:rsidRDefault="00F66A29" w:rsidP="00003FE9">
            <w:pPr>
              <w:jc w:val="both"/>
            </w:pPr>
            <w:r w:rsidRPr="00E1384F">
              <w:t>Əhalisi,</w:t>
            </w:r>
          </w:p>
          <w:p w:rsidR="00F66A29" w:rsidRPr="00E1384F" w:rsidRDefault="00F66A29" w:rsidP="00003FE9">
            <w:pPr>
              <w:jc w:val="both"/>
            </w:pPr>
            <w:r w:rsidRPr="00E1384F">
              <w:t>mln.nəfər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Cəmi, ÜDM, mlrd.doll.</w:t>
            </w:r>
          </w:p>
        </w:tc>
      </w:tr>
      <w:tr w:rsidR="00F66A29" w:rsidRPr="00E1384F" w:rsidTr="00F66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Cənubi Koreya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49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680</w:t>
            </w:r>
          </w:p>
        </w:tc>
      </w:tr>
      <w:tr w:rsidR="00F66A29" w:rsidRPr="00E1384F" w:rsidTr="00F66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Sinqapur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0,640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4,5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107</w:t>
            </w:r>
          </w:p>
        </w:tc>
      </w:tr>
      <w:tr w:rsidR="00F66A29" w:rsidRPr="00E1384F" w:rsidTr="00F66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Honq-qonq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6A29" w:rsidRPr="00E1384F" w:rsidRDefault="00F66A29" w:rsidP="00003FE9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6A29" w:rsidRPr="00E1384F" w:rsidRDefault="00F66A29" w:rsidP="00003FE9">
            <w:pPr>
              <w:jc w:val="both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6A29" w:rsidRPr="00E1384F" w:rsidRDefault="00F66A29" w:rsidP="00003FE9">
            <w:pPr>
              <w:jc w:val="both"/>
            </w:pPr>
          </w:p>
        </w:tc>
      </w:tr>
      <w:tr w:rsidR="00F66A29" w:rsidRPr="00E1384F" w:rsidTr="00F66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Tayvan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6A29" w:rsidRPr="00E1384F" w:rsidRDefault="00F66A29" w:rsidP="00003FE9">
            <w:pPr>
              <w:jc w:val="both"/>
            </w:pPr>
          </w:p>
        </w:tc>
      </w:tr>
      <w:tr w:rsidR="00F66A29" w:rsidRPr="00E1384F" w:rsidTr="00F66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Malayziya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330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118</w:t>
            </w:r>
          </w:p>
        </w:tc>
      </w:tr>
      <w:tr w:rsidR="00F66A29" w:rsidRPr="00E1384F" w:rsidTr="00F66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Tailand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513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64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163</w:t>
            </w:r>
          </w:p>
        </w:tc>
      </w:tr>
      <w:tr w:rsidR="00F66A29" w:rsidRPr="00E1384F" w:rsidTr="00F66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Filippin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88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6A29" w:rsidRPr="00E1384F" w:rsidRDefault="00F66A29" w:rsidP="00003FE9">
            <w:pPr>
              <w:jc w:val="both"/>
            </w:pPr>
            <w:r w:rsidRPr="00E1384F">
              <w:t>87</w:t>
            </w:r>
          </w:p>
        </w:tc>
      </w:tr>
      <w:tr w:rsidR="00F66A29" w:rsidRPr="00E1384F" w:rsidTr="00F66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6A29" w:rsidRPr="00E1384F" w:rsidRDefault="00F66A29" w:rsidP="00003FE9">
            <w:pPr>
              <w:jc w:val="both"/>
            </w:pPr>
            <w:r w:rsidRPr="00E1384F">
              <w:t>İndoneziya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6A29" w:rsidRPr="00E1384F" w:rsidRDefault="00F66A29" w:rsidP="00003FE9">
            <w:pPr>
              <w:jc w:val="both"/>
            </w:pPr>
            <w:r w:rsidRPr="00E1384F">
              <w:t>1905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6A29" w:rsidRPr="00E1384F" w:rsidRDefault="00F66A29" w:rsidP="00003FE9">
            <w:pPr>
              <w:jc w:val="both"/>
            </w:pPr>
            <w:r w:rsidRPr="00E1384F">
              <w:t>242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29" w:rsidRPr="00E1384F" w:rsidRDefault="00F66A29" w:rsidP="00003FE9">
            <w:pPr>
              <w:jc w:val="both"/>
            </w:pPr>
            <w:r w:rsidRPr="00E1384F">
              <w:t>257</w:t>
            </w:r>
          </w:p>
        </w:tc>
      </w:tr>
    </w:tbl>
    <w:p w:rsidR="00F66A29" w:rsidRPr="00E1384F" w:rsidRDefault="00F66A29" w:rsidP="00003FE9">
      <w:pPr>
        <w:jc w:val="both"/>
      </w:pPr>
    </w:p>
    <w:p w:rsidR="00F66A29" w:rsidRPr="00E1384F" w:rsidRDefault="00F66A29" w:rsidP="00003FE9">
      <w:pPr>
        <w:jc w:val="both"/>
      </w:pPr>
    </w:p>
    <w:p w:rsidR="00F66A29" w:rsidRPr="00E1384F" w:rsidRDefault="00F66A29" w:rsidP="00003FE9">
      <w:pPr>
        <w:ind w:firstLine="720"/>
        <w:jc w:val="both"/>
      </w:pPr>
      <w:proofErr w:type="gramStart"/>
      <w:r w:rsidRPr="00E1384F">
        <w:t>Bu ölkələrdən Sinqapur 1995-ci ildə rəsmi olaraq «sənayecə inkişaf etmiş» ölkə statusu almışdır.</w:t>
      </w:r>
      <w:proofErr w:type="gramEnd"/>
      <w:r w:rsidRPr="00E1384F">
        <w:t xml:space="preserve"> Bu </w:t>
      </w:r>
      <w:proofErr w:type="gramStart"/>
      <w:r w:rsidRPr="00E1384F">
        <w:t>adı  «</w:t>
      </w:r>
      <w:proofErr w:type="gramEnd"/>
      <w:r w:rsidRPr="00E1384F">
        <w:t>iqtisadi əməkdaşlıq və inkişaf təşkilatı» rəsmi olaraq təltif etmişdir.</w:t>
      </w:r>
    </w:p>
    <w:p w:rsidR="00F66A29" w:rsidRPr="00E1384F" w:rsidRDefault="00F66A29" w:rsidP="00003FE9">
      <w:pPr>
        <w:jc w:val="both"/>
      </w:pPr>
      <w:proofErr w:type="gramStart"/>
      <w:r w:rsidRPr="00E1384F">
        <w:t>Son üç onilliklə Sinqapurdakı iqtisadi və siyasi sabitlik ona imkan vermişdir ki, hər nəfərə düşən ümumi milli məhsulun həcminə görə ən qabaqcıl ölkələr sırasına çıxsın.</w:t>
      </w:r>
      <w:proofErr w:type="gramEnd"/>
    </w:p>
    <w:p w:rsidR="00F66A29" w:rsidRPr="00E1384F" w:rsidRDefault="00F66A29" w:rsidP="00003FE9">
      <w:pPr>
        <w:jc w:val="both"/>
      </w:pPr>
      <w:r w:rsidRPr="00E1384F">
        <w:t>Ölkənin sənayesinin artım sürəti ildə 8</w:t>
      </w:r>
      <w:proofErr w:type="gramStart"/>
      <w:r w:rsidRPr="00E1384F">
        <w:t>,4</w:t>
      </w:r>
      <w:proofErr w:type="gramEnd"/>
      <w:r w:rsidRPr="00E1384F">
        <w:t>%-ə bərabər olmuşdur ki, bu da əhalinin həyat səviyyəsinin orta hesabla 7 dəfə artmasına zəmin yaratmışdır. Hər nəfərin orta illik gəliri 1995-ci ildə 22</w:t>
      </w:r>
      <w:proofErr w:type="gramStart"/>
      <w:r w:rsidRPr="00E1384F">
        <w:t>,3</w:t>
      </w:r>
      <w:proofErr w:type="gramEnd"/>
      <w:r w:rsidRPr="00E1384F">
        <w:t xml:space="preserve"> min dollar, 2005-ci ildə 23800 dollar təşkil etmişdir.</w:t>
      </w:r>
    </w:p>
    <w:sectPr w:rsidR="00F66A29" w:rsidRPr="00E138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38" w:rsidRDefault="00104C38">
      <w:r>
        <w:separator/>
      </w:r>
    </w:p>
  </w:endnote>
  <w:endnote w:type="continuationSeparator" w:id="0">
    <w:p w:rsidR="00104C38" w:rsidRDefault="0010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38" w:rsidRDefault="00104C38">
      <w:r>
        <w:separator/>
      </w:r>
    </w:p>
  </w:footnote>
  <w:footnote w:type="continuationSeparator" w:id="0">
    <w:p w:rsidR="00104C38" w:rsidRDefault="0010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29"/>
    <w:rsid w:val="00003FE9"/>
    <w:rsid w:val="000B44C8"/>
    <w:rsid w:val="00104C38"/>
    <w:rsid w:val="007A66BC"/>
    <w:rsid w:val="00A57B6B"/>
    <w:rsid w:val="00C20709"/>
    <w:rsid w:val="00E1384F"/>
    <w:rsid w:val="00F17542"/>
    <w:rsid w:val="00F6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odytext5">
    <w:name w:val="Body text (5)_"/>
    <w:link w:val="Bodytext50"/>
    <w:rsid w:val="00F66A29"/>
    <w:rPr>
      <w:b/>
      <w:bCs/>
      <w:sz w:val="18"/>
      <w:szCs w:val="18"/>
      <w:lang w:bidi="ar-SA"/>
    </w:rPr>
  </w:style>
  <w:style w:type="paragraph" w:customStyle="1" w:styleId="Bodytext50">
    <w:name w:val="Body text (5)"/>
    <w:basedOn w:val="a"/>
    <w:link w:val="Bodytext5"/>
    <w:rsid w:val="00F66A29"/>
    <w:pPr>
      <w:widowControl w:val="0"/>
      <w:shd w:val="clear" w:color="auto" w:fill="FFFFFF"/>
      <w:spacing w:line="230" w:lineRule="exact"/>
      <w:ind w:hanging="400"/>
      <w:jc w:val="both"/>
    </w:pPr>
    <w:rPr>
      <w:b/>
      <w:bCs/>
      <w:sz w:val="18"/>
      <w:szCs w:val="18"/>
      <w:lang w:val="ru-RU" w:eastAsia="ru-RU"/>
    </w:rPr>
  </w:style>
  <w:style w:type="character" w:customStyle="1" w:styleId="Bodytext">
    <w:name w:val="Body text_"/>
    <w:link w:val="Bodytext1"/>
    <w:rsid w:val="00F66A29"/>
    <w:rPr>
      <w:sz w:val="18"/>
      <w:szCs w:val="18"/>
      <w:lang w:bidi="ar-SA"/>
    </w:rPr>
  </w:style>
  <w:style w:type="character" w:customStyle="1" w:styleId="BodytextBold">
    <w:name w:val="Body text + Bold"/>
    <w:rsid w:val="00F66A29"/>
    <w:rPr>
      <w:b/>
      <w:bCs/>
      <w:sz w:val="18"/>
      <w:szCs w:val="18"/>
      <w:lang w:bidi="ar-SA"/>
    </w:rPr>
  </w:style>
  <w:style w:type="paragraph" w:customStyle="1" w:styleId="Bodytext1">
    <w:name w:val="Body text1"/>
    <w:basedOn w:val="a"/>
    <w:link w:val="Bodytext"/>
    <w:rsid w:val="00F66A29"/>
    <w:pPr>
      <w:widowControl w:val="0"/>
      <w:shd w:val="clear" w:color="auto" w:fill="FFFFFF"/>
      <w:spacing w:line="245" w:lineRule="exact"/>
      <w:jc w:val="both"/>
    </w:pPr>
    <w:rPr>
      <w:sz w:val="18"/>
      <w:szCs w:val="18"/>
      <w:lang w:val="ru-RU" w:eastAsia="ru-RU"/>
    </w:rPr>
  </w:style>
  <w:style w:type="character" w:customStyle="1" w:styleId="Tablecaption">
    <w:name w:val="Table caption_"/>
    <w:link w:val="Tablecaption1"/>
    <w:rsid w:val="00F66A29"/>
    <w:rPr>
      <w:sz w:val="18"/>
      <w:szCs w:val="18"/>
      <w:lang w:bidi="ar-SA"/>
    </w:rPr>
  </w:style>
  <w:style w:type="character" w:customStyle="1" w:styleId="Tablecaption0">
    <w:name w:val="Table caption"/>
    <w:rsid w:val="00F66A29"/>
    <w:rPr>
      <w:sz w:val="18"/>
      <w:szCs w:val="18"/>
      <w:u w:val="single"/>
      <w:lang w:bidi="ar-SA"/>
    </w:rPr>
  </w:style>
  <w:style w:type="character" w:customStyle="1" w:styleId="Bodytext0">
    <w:name w:val="Body text"/>
    <w:basedOn w:val="Bodytext"/>
    <w:rsid w:val="00F66A29"/>
    <w:rPr>
      <w:sz w:val="18"/>
      <w:szCs w:val="18"/>
      <w:lang w:bidi="ar-SA"/>
    </w:rPr>
  </w:style>
  <w:style w:type="paragraph" w:customStyle="1" w:styleId="Tablecaption1">
    <w:name w:val="Table caption1"/>
    <w:basedOn w:val="a"/>
    <w:link w:val="Tablecaption"/>
    <w:rsid w:val="00F66A29"/>
    <w:pPr>
      <w:widowControl w:val="0"/>
      <w:shd w:val="clear" w:color="auto" w:fill="FFFFFF"/>
      <w:spacing w:line="216" w:lineRule="exact"/>
      <w:jc w:val="both"/>
    </w:pPr>
    <w:rPr>
      <w:sz w:val="18"/>
      <w:szCs w:val="18"/>
      <w:lang w:val="ru-RU" w:eastAsia="ru-RU"/>
    </w:rPr>
  </w:style>
  <w:style w:type="character" w:customStyle="1" w:styleId="Bodytext7">
    <w:name w:val="Body text (7)_"/>
    <w:link w:val="Bodytext70"/>
    <w:rsid w:val="00F66A29"/>
    <w:rPr>
      <w:sz w:val="54"/>
      <w:szCs w:val="54"/>
      <w:lang w:bidi="ar-SA"/>
    </w:rPr>
  </w:style>
  <w:style w:type="character" w:customStyle="1" w:styleId="Bodytext11">
    <w:name w:val="Body text (11)_"/>
    <w:link w:val="Bodytext110"/>
    <w:rsid w:val="00F66A29"/>
    <w:rPr>
      <w:rFonts w:ascii="Consolas" w:hAnsi="Consolas"/>
      <w:sz w:val="12"/>
      <w:szCs w:val="12"/>
      <w:lang w:bidi="ar-SA"/>
    </w:rPr>
  </w:style>
  <w:style w:type="character" w:customStyle="1" w:styleId="Bodytext1155pt">
    <w:name w:val="Body text (11) + 5.5 pt"/>
    <w:aliases w:val="Italic"/>
    <w:rsid w:val="00F66A29"/>
    <w:rPr>
      <w:rFonts w:ascii="Consolas" w:hAnsi="Consolas"/>
      <w:i/>
      <w:iCs/>
      <w:sz w:val="11"/>
      <w:szCs w:val="11"/>
      <w:lang w:bidi="ar-SA"/>
    </w:rPr>
  </w:style>
  <w:style w:type="paragraph" w:customStyle="1" w:styleId="Bodytext70">
    <w:name w:val="Body text (7)"/>
    <w:basedOn w:val="a"/>
    <w:link w:val="Bodytext7"/>
    <w:rsid w:val="00F66A29"/>
    <w:pPr>
      <w:widowControl w:val="0"/>
      <w:shd w:val="clear" w:color="auto" w:fill="FFFFFF"/>
      <w:spacing w:before="1080" w:after="240" w:line="715" w:lineRule="exact"/>
      <w:jc w:val="right"/>
    </w:pPr>
    <w:rPr>
      <w:sz w:val="54"/>
      <w:szCs w:val="54"/>
      <w:lang w:val="ru-RU" w:eastAsia="ru-RU"/>
    </w:rPr>
  </w:style>
  <w:style w:type="paragraph" w:customStyle="1" w:styleId="Bodytext110">
    <w:name w:val="Body text (11)"/>
    <w:basedOn w:val="a"/>
    <w:link w:val="Bodytext11"/>
    <w:rsid w:val="00F66A29"/>
    <w:pPr>
      <w:widowControl w:val="0"/>
      <w:shd w:val="clear" w:color="auto" w:fill="FFFFFF"/>
      <w:spacing w:line="240" w:lineRule="atLeast"/>
    </w:pPr>
    <w:rPr>
      <w:rFonts w:ascii="Consolas" w:hAnsi="Consolas"/>
      <w:sz w:val="12"/>
      <w:szCs w:val="1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odytext5">
    <w:name w:val="Body text (5)_"/>
    <w:link w:val="Bodytext50"/>
    <w:rsid w:val="00F66A29"/>
    <w:rPr>
      <w:b/>
      <w:bCs/>
      <w:sz w:val="18"/>
      <w:szCs w:val="18"/>
      <w:lang w:bidi="ar-SA"/>
    </w:rPr>
  </w:style>
  <w:style w:type="paragraph" w:customStyle="1" w:styleId="Bodytext50">
    <w:name w:val="Body text (5)"/>
    <w:basedOn w:val="a"/>
    <w:link w:val="Bodytext5"/>
    <w:rsid w:val="00F66A29"/>
    <w:pPr>
      <w:widowControl w:val="0"/>
      <w:shd w:val="clear" w:color="auto" w:fill="FFFFFF"/>
      <w:spacing w:line="230" w:lineRule="exact"/>
      <w:ind w:hanging="400"/>
      <w:jc w:val="both"/>
    </w:pPr>
    <w:rPr>
      <w:b/>
      <w:bCs/>
      <w:sz w:val="18"/>
      <w:szCs w:val="18"/>
      <w:lang w:val="ru-RU" w:eastAsia="ru-RU"/>
    </w:rPr>
  </w:style>
  <w:style w:type="character" w:customStyle="1" w:styleId="Bodytext">
    <w:name w:val="Body text_"/>
    <w:link w:val="Bodytext1"/>
    <w:rsid w:val="00F66A29"/>
    <w:rPr>
      <w:sz w:val="18"/>
      <w:szCs w:val="18"/>
      <w:lang w:bidi="ar-SA"/>
    </w:rPr>
  </w:style>
  <w:style w:type="character" w:customStyle="1" w:styleId="BodytextBold">
    <w:name w:val="Body text + Bold"/>
    <w:rsid w:val="00F66A29"/>
    <w:rPr>
      <w:b/>
      <w:bCs/>
      <w:sz w:val="18"/>
      <w:szCs w:val="18"/>
      <w:lang w:bidi="ar-SA"/>
    </w:rPr>
  </w:style>
  <w:style w:type="paragraph" w:customStyle="1" w:styleId="Bodytext1">
    <w:name w:val="Body text1"/>
    <w:basedOn w:val="a"/>
    <w:link w:val="Bodytext"/>
    <w:rsid w:val="00F66A29"/>
    <w:pPr>
      <w:widowControl w:val="0"/>
      <w:shd w:val="clear" w:color="auto" w:fill="FFFFFF"/>
      <w:spacing w:line="245" w:lineRule="exact"/>
      <w:jc w:val="both"/>
    </w:pPr>
    <w:rPr>
      <w:sz w:val="18"/>
      <w:szCs w:val="18"/>
      <w:lang w:val="ru-RU" w:eastAsia="ru-RU"/>
    </w:rPr>
  </w:style>
  <w:style w:type="character" w:customStyle="1" w:styleId="Tablecaption">
    <w:name w:val="Table caption_"/>
    <w:link w:val="Tablecaption1"/>
    <w:rsid w:val="00F66A29"/>
    <w:rPr>
      <w:sz w:val="18"/>
      <w:szCs w:val="18"/>
      <w:lang w:bidi="ar-SA"/>
    </w:rPr>
  </w:style>
  <w:style w:type="character" w:customStyle="1" w:styleId="Tablecaption0">
    <w:name w:val="Table caption"/>
    <w:rsid w:val="00F66A29"/>
    <w:rPr>
      <w:sz w:val="18"/>
      <w:szCs w:val="18"/>
      <w:u w:val="single"/>
      <w:lang w:bidi="ar-SA"/>
    </w:rPr>
  </w:style>
  <w:style w:type="character" w:customStyle="1" w:styleId="Bodytext0">
    <w:name w:val="Body text"/>
    <w:basedOn w:val="Bodytext"/>
    <w:rsid w:val="00F66A29"/>
    <w:rPr>
      <w:sz w:val="18"/>
      <w:szCs w:val="18"/>
      <w:lang w:bidi="ar-SA"/>
    </w:rPr>
  </w:style>
  <w:style w:type="paragraph" w:customStyle="1" w:styleId="Tablecaption1">
    <w:name w:val="Table caption1"/>
    <w:basedOn w:val="a"/>
    <w:link w:val="Tablecaption"/>
    <w:rsid w:val="00F66A29"/>
    <w:pPr>
      <w:widowControl w:val="0"/>
      <w:shd w:val="clear" w:color="auto" w:fill="FFFFFF"/>
      <w:spacing w:line="216" w:lineRule="exact"/>
      <w:jc w:val="both"/>
    </w:pPr>
    <w:rPr>
      <w:sz w:val="18"/>
      <w:szCs w:val="18"/>
      <w:lang w:val="ru-RU" w:eastAsia="ru-RU"/>
    </w:rPr>
  </w:style>
  <w:style w:type="character" w:customStyle="1" w:styleId="Bodytext7">
    <w:name w:val="Body text (7)_"/>
    <w:link w:val="Bodytext70"/>
    <w:rsid w:val="00F66A29"/>
    <w:rPr>
      <w:sz w:val="54"/>
      <w:szCs w:val="54"/>
      <w:lang w:bidi="ar-SA"/>
    </w:rPr>
  </w:style>
  <w:style w:type="character" w:customStyle="1" w:styleId="Bodytext11">
    <w:name w:val="Body text (11)_"/>
    <w:link w:val="Bodytext110"/>
    <w:rsid w:val="00F66A29"/>
    <w:rPr>
      <w:rFonts w:ascii="Consolas" w:hAnsi="Consolas"/>
      <w:sz w:val="12"/>
      <w:szCs w:val="12"/>
      <w:lang w:bidi="ar-SA"/>
    </w:rPr>
  </w:style>
  <w:style w:type="character" w:customStyle="1" w:styleId="Bodytext1155pt">
    <w:name w:val="Body text (11) + 5.5 pt"/>
    <w:aliases w:val="Italic"/>
    <w:rsid w:val="00F66A29"/>
    <w:rPr>
      <w:rFonts w:ascii="Consolas" w:hAnsi="Consolas"/>
      <w:i/>
      <w:iCs/>
      <w:sz w:val="11"/>
      <w:szCs w:val="11"/>
      <w:lang w:bidi="ar-SA"/>
    </w:rPr>
  </w:style>
  <w:style w:type="paragraph" w:customStyle="1" w:styleId="Bodytext70">
    <w:name w:val="Body text (7)"/>
    <w:basedOn w:val="a"/>
    <w:link w:val="Bodytext7"/>
    <w:rsid w:val="00F66A29"/>
    <w:pPr>
      <w:widowControl w:val="0"/>
      <w:shd w:val="clear" w:color="auto" w:fill="FFFFFF"/>
      <w:spacing w:before="1080" w:after="240" w:line="715" w:lineRule="exact"/>
      <w:jc w:val="right"/>
    </w:pPr>
    <w:rPr>
      <w:sz w:val="54"/>
      <w:szCs w:val="54"/>
      <w:lang w:val="ru-RU" w:eastAsia="ru-RU"/>
    </w:rPr>
  </w:style>
  <w:style w:type="paragraph" w:customStyle="1" w:styleId="Bodytext110">
    <w:name w:val="Body text (11)"/>
    <w:basedOn w:val="a"/>
    <w:link w:val="Bodytext11"/>
    <w:rsid w:val="00F66A29"/>
    <w:pPr>
      <w:widowControl w:val="0"/>
      <w:shd w:val="clear" w:color="auto" w:fill="FFFFFF"/>
      <w:spacing w:line="240" w:lineRule="atLeast"/>
    </w:pPr>
    <w:rPr>
      <w:rFonts w:ascii="Consolas" w:hAnsi="Consolas"/>
      <w:sz w:val="12"/>
      <w:szCs w:val="1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2018-07-30T11:08:00Z</dcterms:created>
  <dcterms:modified xsi:type="dcterms:W3CDTF">2018-07-30T11:08:00Z</dcterms:modified>
</cp:coreProperties>
</file>