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0" w:rsidRPr="001549E0" w:rsidRDefault="001549E0" w:rsidP="001549E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6"/>
          <w:szCs w:val="26"/>
          <w:lang w:val="en-US"/>
        </w:rPr>
      </w:pPr>
      <w:bookmarkStart w:id="0" w:name="_GoBack"/>
      <w:proofErr w:type="spellStart"/>
      <w:r>
        <w:rPr>
          <w:rFonts w:ascii="Arial" w:hAnsi="Arial" w:cs="Arial"/>
          <w:color w:val="222222"/>
          <w:sz w:val="36"/>
          <w:szCs w:val="26"/>
          <w:lang w:val="en-US"/>
        </w:rPr>
        <w:t>Fəaliyyə</w:t>
      </w:r>
      <w:r w:rsidRPr="001549E0">
        <w:rPr>
          <w:rFonts w:ascii="Arial" w:hAnsi="Arial" w:cs="Arial"/>
          <w:color w:val="222222"/>
          <w:sz w:val="36"/>
          <w:szCs w:val="26"/>
          <w:lang w:val="en-US"/>
        </w:rPr>
        <w:t>t</w:t>
      </w:r>
      <w:proofErr w:type="spellEnd"/>
      <w:r w:rsidRPr="001549E0">
        <w:rPr>
          <w:rFonts w:ascii="Arial" w:hAnsi="Arial" w:cs="Arial"/>
          <w:color w:val="222222"/>
          <w:sz w:val="3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36"/>
          <w:szCs w:val="26"/>
          <w:lang w:val="en-US"/>
        </w:rPr>
        <w:t>potensialini</w:t>
      </w:r>
      <w:proofErr w:type="spellEnd"/>
      <w:r w:rsidRPr="001549E0">
        <w:rPr>
          <w:rFonts w:ascii="Arial" w:hAnsi="Arial" w:cs="Arial"/>
          <w:color w:val="222222"/>
          <w:sz w:val="3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36"/>
          <w:szCs w:val="26"/>
          <w:lang w:val="en-US"/>
        </w:rPr>
        <w:t>artıran</w:t>
      </w:r>
      <w:proofErr w:type="spellEnd"/>
      <w:r w:rsidRPr="001549E0">
        <w:rPr>
          <w:rFonts w:ascii="Arial" w:hAnsi="Arial" w:cs="Arial"/>
          <w:color w:val="222222"/>
          <w:sz w:val="3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36"/>
          <w:szCs w:val="26"/>
          <w:lang w:val="en-US"/>
        </w:rPr>
        <w:t>preparatlar</w:t>
      </w:r>
      <w:proofErr w:type="spellEnd"/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Bu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qrup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preparatlar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antiadrenergik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xüsusiyyatlara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malikdir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membrana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tesir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etmir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 </w:t>
      </w:r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Amiodaron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(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kordaron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) -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benzofuranin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yodlu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töramasidir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 </w:t>
      </w:r>
    </w:p>
    <w:p w:rsid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Farmakoodinamika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miokard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keçirici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sistemin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B-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adrenoreseptorlarını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qlükagona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həssas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X-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reseptorlarını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blokada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B-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adrenoblokatorlardan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fargli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olaraq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reseptorlardan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izoproterenol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vasitasila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sıxışdırılıb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çlxarilmir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</w:p>
    <w:p w:rsid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Antiaadrenergik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tasir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gostarir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faaliyyat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potensialını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alava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dosta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da,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qulaqcıq-madacik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düyününde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Hiss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destasinda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odadavamlı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merhalani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artırır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 ÜVS-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azaldır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ürək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atımına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miokard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ylğilma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qabiliyyatina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təsir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göstarmir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Koronar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damarların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mügavimatini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azaldır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periferik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damarlarl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genişlandirir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Miokardda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kreatinfosfat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qlikogenin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miqdarni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artırma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metabolizmi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yaxsllaşdirir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</w:p>
    <w:bookmarkEnd w:id="0"/>
    <w:p w:rsid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Farmakokinetika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preparatin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biomanimsanilmasi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aşağıdır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T1 / 2 10-110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gün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arasında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tərəddüd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qaraciyarda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baş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verir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naticada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onun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molekulundan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yod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ayrıllr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əsasan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odla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hissasi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sidikla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xaric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olur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Mütəşəkkil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da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toplanmaq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xususiyyatina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malikdir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Göstarişlar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oyanma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qayıtmasl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alaqadar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madaciküstü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aritmiya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xüsusa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WPW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sindromu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paroksizmal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aritmiyalar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Qulaqcıqlar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titrama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ekstrasistolasi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aks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göstarişlar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sinus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bradikardiyasi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bütün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növ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keçiriciliyi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poza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Günlüğü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hipotenziya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kollaps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bronxial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astma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hipo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hipertrioz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hamilalik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.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Tətbiq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paroksizmal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aritmiyalar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zamanl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v / d 0</w:t>
      </w:r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,3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-0,45 q,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sonradan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2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arzindo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0,3 q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damcı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üsulu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ilə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yeridilir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Takraran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preparati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damcl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üsulu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a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vlo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24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saatdan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dozada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5%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glukoza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mahlulunda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yeridirlar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Daxil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Gundam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0</w:t>
      </w:r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,4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-0,6 q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olmaqla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1-2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həftə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arzını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sonradan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isə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saxlayici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dozada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(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həftədə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2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gün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fasila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vermakla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)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təyin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edilir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 </w:t>
      </w:r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Elave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tesirler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: MBS-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ve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qaraciyerin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zadalanmasi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(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ürakbulanma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ishal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dayişikliklar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markazi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periferik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da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pozğunluğu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sinir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sisteminin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zadalan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tremor,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azala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zaifliyi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qabul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Piqment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çökməsi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naticasinda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alveolit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​​(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amiodaron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aqciyari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),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qalxanabanzar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Vazi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funk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pozğunluğu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digär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preparatlarla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qarşılıqlı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daşıyırlar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ürak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glikozidlari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birgə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tətbiq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glikozidlarin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konsentrasiyasını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artırır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intoksikasiya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simptomlarl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yarana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bilar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(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sinoatrial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AV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keçiriciliyin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langimasi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MBS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MSS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toksik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tazahürlar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),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bela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hallarda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digoksinin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azaldılmalıdır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Kordaron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dizopiramid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meksitilin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novokainamidin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konsentra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-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siyasətçilər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artmasına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lastRenderedPageBreak/>
        <w:t>sabab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olur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da Q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intervalinin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uzanması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fibrilyasiyaya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keçmasi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tazahür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B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adrenoblokator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n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birga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tətbiq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sinus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bradikardiyasi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və</w:t>
      </w:r>
      <w:proofErr w:type="spellEnd"/>
      <w:r w:rsidRPr="001549E0">
        <w:rPr>
          <w:rStyle w:val="apple-converted-space"/>
          <w:rFonts w:ascii="Arial" w:hAnsi="Arial" w:cs="Arial"/>
          <w:color w:val="222222"/>
          <w:sz w:val="26"/>
          <w:szCs w:val="26"/>
          <w:lang w:val="en-US"/>
        </w:rPr>
        <w:t> </w:t>
      </w:r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AV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blokada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yarada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bilar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Bretilium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tozilat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Farmakodinamika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mpulsun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postqanqlionar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simpatik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ötürücülüyünü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blokada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postqanqlionar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liflardan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NA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ifrazını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stimula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faaliyyat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potensialini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effektiv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odadavamlı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müddəti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qlsaldır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repolyarizasiya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fazasında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kalium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ionlarının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hüceyra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daxilinda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hüceyra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xaricina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keçmasini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artırır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Purkinye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lifləri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boyu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impuls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keçiriciliyi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sifətini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dayişmir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oyanma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qayıt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masini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blokada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Farmakokinetika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antiaritmik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tasir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v/d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yeritdikdan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sonra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başlayır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12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davam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.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konsentrasiyası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1-2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arzinda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aşkar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edilir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T1 / 2 10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saata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yaxındır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</w:t>
      </w:r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 </w:t>
      </w:r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lang w:val="en-US"/>
        </w:rPr>
        <w:t>Göstərişlə</w:t>
      </w:r>
      <w:r w:rsidRPr="001549E0">
        <w:rPr>
          <w:rFonts w:ascii="Arial" w:hAnsi="Arial" w:cs="Arial"/>
          <w:color w:val="222222"/>
          <w:sz w:val="26"/>
          <w:szCs w:val="26"/>
          <w:lang w:val="en-US"/>
        </w:rPr>
        <w:t>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madacik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taxikardiyasi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proofErr w:type="gram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va</w:t>
      </w:r>
      <w:proofErr w:type="spellEnd"/>
      <w:proofErr w:type="gram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ekstrasistolasi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digar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antiaritmik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derman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maddələri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effekt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vermadiyi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hallarda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. </w:t>
      </w:r>
    </w:p>
    <w:p w:rsidR="001549E0" w:rsidRPr="001549E0" w:rsidRDefault="001549E0" w:rsidP="001549E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222222"/>
          <w:sz w:val="26"/>
          <w:szCs w:val="26"/>
          <w:lang w:val="en-US"/>
        </w:rPr>
      </w:pPr>
      <w:r>
        <w:rPr>
          <w:rFonts w:ascii="Arial" w:hAnsi="Arial" w:cs="Arial"/>
          <w:color w:val="222222"/>
          <w:sz w:val="26"/>
          <w:szCs w:val="26"/>
          <w:lang w:val="az-Latn-AZ"/>
        </w:rPr>
        <w:t>Ə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göstarişlar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keskin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beyin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qan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dövrani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pozğunluğu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arterial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niya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ağır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böyrak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çatışmazlığı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tətbiq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: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ezele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daxilina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2-4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/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kq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olmaqla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təyin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edilir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elava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ürakbulanma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qusma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görmenin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müvəqqəti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pozğunluğu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ortostatik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kollaps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zaiflik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başgicallanma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burunun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selikli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gişasinin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siskinlidir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istilik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hissiyyat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ürak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nahiyasinda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ağri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, </w:t>
      </w:r>
      <w:proofErr w:type="spellStart"/>
      <w:r w:rsidRPr="001549E0">
        <w:rPr>
          <w:rFonts w:ascii="Arial" w:hAnsi="Arial" w:cs="Arial"/>
          <w:color w:val="222222"/>
          <w:sz w:val="26"/>
          <w:szCs w:val="26"/>
          <w:lang w:val="en-US"/>
        </w:rPr>
        <w:t>azalada</w:t>
      </w:r>
      <w:proofErr w:type="spellEnd"/>
      <w:r w:rsidRPr="001549E0">
        <w:rPr>
          <w:rFonts w:ascii="Arial" w:hAnsi="Arial" w:cs="Arial"/>
          <w:color w:val="222222"/>
          <w:sz w:val="26"/>
          <w:szCs w:val="26"/>
          <w:lang w:val="en-US"/>
        </w:rPr>
        <w:t xml:space="preserve"> agri. </w:t>
      </w:r>
    </w:p>
    <w:p w:rsidR="005659FC" w:rsidRPr="001549E0" w:rsidRDefault="00067DA4" w:rsidP="001549E0">
      <w:pPr>
        <w:spacing w:after="0" w:line="360" w:lineRule="auto"/>
        <w:ind w:firstLine="284"/>
        <w:jc w:val="both"/>
        <w:rPr>
          <w:lang w:val="en-US"/>
        </w:rPr>
      </w:pPr>
    </w:p>
    <w:sectPr w:rsidR="005659FC" w:rsidRPr="001549E0" w:rsidSect="001549E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0"/>
    <w:rsid w:val="00067DA4"/>
    <w:rsid w:val="00137234"/>
    <w:rsid w:val="001549E0"/>
    <w:rsid w:val="002A5CE9"/>
    <w:rsid w:val="00371533"/>
    <w:rsid w:val="004D1D7C"/>
    <w:rsid w:val="00B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9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5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9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2018-07-31T09:47:00Z</dcterms:created>
  <dcterms:modified xsi:type="dcterms:W3CDTF">2018-07-31T09:47:00Z</dcterms:modified>
</cp:coreProperties>
</file>